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SCENARIO FOR EDUCATIONAL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1. OF SCENARIO</w:t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7"/>
        <w:gridCol w:w="7225"/>
        <w:tblGridChange w:id="0">
          <w:tblGrid>
            <w:gridCol w:w="1837"/>
            <w:gridCol w:w="72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THEME  OF CLASSES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The Value of Diversity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Roderick Vassallo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DURATION OF CLASSES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1,5 h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MODE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Physical, online and/or hybrid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KEYWORDS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Discrimination, indirect, direct, harassment, equity, EU Racial Equality Directive, conflict resolution, diversity, equality, inclusion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2. OF SCENARIO</w:t>
      </w:r>
    </w:p>
    <w:tbl>
      <w:tblPr>
        <w:tblStyle w:val="Table2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7144"/>
        <w:tblGridChange w:id="0">
          <w:tblGrid>
            <w:gridCol w:w="1997"/>
            <w:gridCol w:w="7144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 AIM OF THE CLASSES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understand the meaning of equality and equity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understand the meaning of discrimination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identify different forms of discrimination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introduce the EU Racial Equality Directive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apply the knowledge to common scenarios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OUTCOMES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can recognise different forms of discrimination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can learn the skills of conflict resolution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can resist different forms of discrimination by applying the principles of conflict resolution to find a peaceful solution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SUGGESTED TOOLS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PPT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case studies/scenarios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TIPS / METHODOLOGICAL REMARKS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presentation to assist you in the flow of the delivery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of video to enforce the basic concepts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the scenarios and the notes on conflict resolution to help the development of basic resolution skills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health risks envisaged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Prepare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lass environment to allow for a safe discussion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3. OF SCENARIO</w:t>
      </w:r>
    </w:p>
    <w:tbl>
      <w:tblPr>
        <w:tblStyle w:val="Table3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3"/>
        <w:gridCol w:w="1969"/>
        <w:gridCol w:w="5319"/>
        <w:tblGridChange w:id="0">
          <w:tblGrid>
            <w:gridCol w:w="1853"/>
            <w:gridCol w:w="1969"/>
            <w:gridCol w:w="5319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CONTENT - CHARACTERISTICS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session is mainly based on three sections: i) introducing and defining discrimination, ii) introducing the EU Racial Equality Directive and iii) the use of hands-on activities in resolving the scenarios through the conflict resolution approach.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These concepts are reinforced through interaction between the learners during the hands-on activity part allowing self-reflection and discussions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room for discussions with your learners.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BASIC TERMS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discrimination, indirect, direct, harassment, equality, equity, EU Racial Equality Directive, conflict resolution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 OF THE CLASS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Pre-STEP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If you think it is a good idea, share the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Limits and potential of the concept of indirect discrimination</w:t>
              </w:r>
            </w:hyperlink>
            <w:r w:rsidDel="00000000" w:rsidR="00000000" w:rsidRPr="00000000">
              <w:rPr>
                <w:rtl w:val="0"/>
              </w:rPr>
              <w:t xml:space="preserve"> beforehand. Links are found at the end of this document.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You may choose to use the PPT presentation to help you in the flow of this session. 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Start the session using Slides 2-4 to introduce the theme of privilege leading on to discrimination. (8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Use Slides 5 - 16 to define equality, equity, discrimination and present forms of discrimination (12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bookmarkStart w:colFirst="0" w:colLast="0" w:name="_heading=h.fditoejklsx7" w:id="0"/>
            <w:bookmarkEnd w:id="0"/>
            <w:r w:rsidDel="00000000" w:rsidR="00000000" w:rsidRPr="00000000">
              <w:rPr>
                <w:rtl w:val="0"/>
              </w:rPr>
              <w:t xml:space="preserve">Use Slides 17 - 26 to present the EU Racial Equality Directive. You may opt to hand the text of the directive (see link below) (15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Use the last Section and Slides 27 -31 to first introduce the idea of conflict resolution. Use the notes to promote the skills involved.  (20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Use Slides 32 - 35 to present individual scenarios. Feel free to add more scenarios given in the Notes on Conflict Resolution or others of your choice. You are also given a template (Slide 36) to add on these should you wish.    (35 min)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PART 4. OF SCENARIO: ADDITIONAL MATERIALS (WORKSHEET, CARDS, PICTURES, RECORDINGS)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Presentation: </w:t>
      </w:r>
    </w:p>
    <w:p w:rsidR="00000000" w:rsidDel="00000000" w:rsidP="00000000" w:rsidRDefault="00000000" w:rsidRPr="00000000" w14:paraId="00000049">
      <w:pPr>
        <w:spacing w:after="0" w:line="240" w:lineRule="auto"/>
        <w:rPr>
          <w:sz w:val="24"/>
          <w:szCs w:val="24"/>
        </w:rPr>
      </w:pP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UM.07.1.Discrimination.pptx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Notes:</w:t>
      </w:r>
    </w:p>
    <w:p w:rsidR="00000000" w:rsidDel="00000000" w:rsidP="00000000" w:rsidRDefault="00000000" w:rsidRPr="00000000" w14:paraId="0000004C">
      <w:pPr>
        <w:spacing w:after="0" w:line="240" w:lineRule="auto"/>
        <w:rPr>
          <w:sz w:val="24"/>
          <w:szCs w:val="24"/>
        </w:rPr>
      </w:pPr>
      <w:hyperlink r:id="rId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UM.07.2.Notes on Conflict Resolution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References:</w:t>
      </w:r>
    </w:p>
    <w:p w:rsidR="00000000" w:rsidDel="00000000" w:rsidP="00000000" w:rsidRDefault="00000000" w:rsidRPr="00000000" w14:paraId="0000004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European Commission: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The Race Equality Directive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reading material: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52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Tobler, C., 2008,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Limits and potential of the concept of indirect discrimination</w:t>
        </w:r>
      </w:hyperlink>
      <w:r w:rsidDel="00000000" w:rsidR="00000000" w:rsidRPr="00000000">
        <w:rPr>
          <w:rtl w:val="0"/>
        </w:rPr>
        <w:t xml:space="preserve">, [European Commission], [Online]. Available at: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https://ec.europa.eu/social/BlobServlet?docId=1663&amp;langId=en</w:t>
        </w:r>
      </w:hyperlink>
      <w:r w:rsidDel="00000000" w:rsidR="00000000" w:rsidRPr="00000000">
        <w:rPr>
          <w:rtl w:val="0"/>
        </w:rPr>
        <w:t xml:space="preserve"> [Accessed on 21 June 2023]</w:t>
      </w:r>
    </w:p>
    <w:p w:rsidR="00000000" w:rsidDel="00000000" w:rsidP="00000000" w:rsidRDefault="00000000" w:rsidRPr="00000000" w14:paraId="0000005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Videos:</w:t>
      </w:r>
    </w:p>
    <w:p w:rsidR="00000000" w:rsidDel="00000000" w:rsidP="00000000" w:rsidRDefault="00000000" w:rsidRPr="00000000" w14:paraId="00000055">
      <w:pPr>
        <w:spacing w:after="0" w:line="240" w:lineRule="auto"/>
        <w:rPr/>
      </w:pPr>
      <w:hyperlink r:id="rId13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Race &amp; Privilege: A Social Experiment | Regardless Of Race | CNA Insider</w:t>
        </w:r>
      </w:hyperlink>
      <w:r w:rsidDel="00000000" w:rsidR="00000000" w:rsidRPr="00000000">
        <w:rPr>
          <w:rtl w:val="0"/>
        </w:rPr>
      </w:r>
    </w:p>
    <w:sectPr>
      <w:headerReference r:id="rId14" w:type="default"/>
      <w:headerReference r:id="rId15" w:type="first"/>
      <w:headerReference r:id="rId16" w:type="even"/>
      <w:footerReference r:id="rId17" w:type="default"/>
      <w:footerReference r:id="rId18" w:type="first"/>
      <w:footerReference r:id="rId19" w:type="even"/>
      <w:pgSz w:h="16838" w:w="11906" w:orient="portrait"/>
      <w:pgMar w:bottom="1417" w:top="20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bookmarkStart w:colFirst="0" w:colLast="0" w:name="_heading=h.gjdgxs" w:id="1"/>
    <w:bookmarkEnd w:id="1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widowControl w:val="0"/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4"/>
      <w:tblW w:w="9225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135"/>
      <w:gridCol w:w="2970"/>
      <w:gridCol w:w="3120"/>
      <w:tblGridChange w:id="0">
        <w:tblGrid>
          <w:gridCol w:w="3135"/>
          <w:gridCol w:w="2970"/>
          <w:gridCol w:w="3120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58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282788" cy="551223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9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A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right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816439" cy="381016"/>
                <wp:effectExtent b="0" l="0" r="0" t="0"/>
                <wp:docPr id="2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B">
    <w:pPr>
      <w:tabs>
        <w:tab w:val="center" w:leader="none" w:pos="4320"/>
        <w:tab w:val="right" w:leader="none" w:pos="8640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2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ec.europa.eu/social/BlobServlet?docId=1663&amp;langId=en" TargetMode="External"/><Relationship Id="rId10" Type="http://schemas.openxmlformats.org/officeDocument/2006/relationships/hyperlink" Target="https://ec.europa.eu/commission/presscorner/detail/en/MEMO_07_257" TargetMode="External"/><Relationship Id="rId13" Type="http://schemas.openxmlformats.org/officeDocument/2006/relationships/hyperlink" Target="https://youtu.be/F2hvibGdg4w" TargetMode="External"/><Relationship Id="rId12" Type="http://schemas.openxmlformats.org/officeDocument/2006/relationships/hyperlink" Target="https://ec.europa.eu/social/BlobServlet?docId=1663&amp;langId=e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bZBn3BGY4_uBV7I1vZ_jsDbSgJQ7hOpoCfp_kYmi4n4/edit?usp=drive_link" TargetMode="External"/><Relationship Id="rId15" Type="http://schemas.openxmlformats.org/officeDocument/2006/relationships/header" Target="header1.xml"/><Relationship Id="rId14" Type="http://schemas.openxmlformats.org/officeDocument/2006/relationships/header" Target="header2.xml"/><Relationship Id="rId17" Type="http://schemas.openxmlformats.org/officeDocument/2006/relationships/footer" Target="footer1.xml"/><Relationship Id="rId16" Type="http://schemas.openxmlformats.org/officeDocument/2006/relationships/header" Target="header3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footer" Target="footer3.xml"/><Relationship Id="rId7" Type="http://schemas.openxmlformats.org/officeDocument/2006/relationships/hyperlink" Target="https://ec.europa.eu/social/BlobServlet?docId=1663&amp;langId=en" TargetMode="External"/><Relationship Id="rId8" Type="http://schemas.openxmlformats.org/officeDocument/2006/relationships/hyperlink" Target="https://docs.google.com/presentation/d/1WQ9z97wYPACBplc9DGMrb0unOygAajGC/edit?usp=drive_link&amp;ouid=116113413104555587790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19hB3MgMjDA89zf4R3g4re37hA==">CgMxLjAyDmguZmRpdG9lamtsc3g3MghoLmdqZGd4czgAciExeGd6THdqdlhfQ0VtX3FJLXRTc3YxMlpKSVc3S1RYdk0=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